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EC5F" w14:textId="40EA0FDE" w:rsidR="00591AEB" w:rsidRDefault="00591AEB" w:rsidP="00645575">
      <w:pPr>
        <w:spacing w:before="100" w:beforeAutospacing="1" w:after="100" w:afterAutospacing="1" w:line="240" w:lineRule="auto"/>
        <w:outlineLvl w:val="1"/>
        <w:rPr>
          <w:rFonts w:ascii="Calibri" w:eastAsia="Times New Roman" w:hAnsi="Calibri" w:cs="Calibri"/>
          <w:b/>
          <w:bCs/>
          <w:kern w:val="0"/>
          <w:sz w:val="22"/>
          <w:szCs w:val="22"/>
          <w14:ligatures w14:val="none"/>
        </w:rPr>
      </w:pPr>
      <w:r>
        <w:rPr>
          <w:noProof/>
        </w:rPr>
        <mc:AlternateContent>
          <mc:Choice Requires="wpg">
            <w:drawing>
              <wp:anchor distT="0" distB="0" distL="114300" distR="114300" simplePos="0" relativeHeight="251659264" behindDoc="0" locked="0" layoutInCell="1" allowOverlap="1" wp14:anchorId="6E6F875F" wp14:editId="6EDC8374">
                <wp:simplePos x="0" y="0"/>
                <wp:positionH relativeFrom="column">
                  <wp:posOffset>0</wp:posOffset>
                </wp:positionH>
                <wp:positionV relativeFrom="paragraph">
                  <wp:posOffset>0</wp:posOffset>
                </wp:positionV>
                <wp:extent cx="1234440" cy="553085"/>
                <wp:effectExtent l="0" t="0" r="0" b="5715"/>
                <wp:wrapSquare wrapText="bothSides"/>
                <wp:docPr id="1617" name="Group 1617"/>
                <wp:cNvGraphicFramePr/>
                <a:graphic xmlns:a="http://schemas.openxmlformats.org/drawingml/2006/main">
                  <a:graphicData uri="http://schemas.microsoft.com/office/word/2010/wordprocessingGroup">
                    <wpg:wgp>
                      <wpg:cNvGrpSpPr/>
                      <wpg:grpSpPr>
                        <a:xfrm>
                          <a:off x="0" y="0"/>
                          <a:ext cx="1234440" cy="553085"/>
                          <a:chOff x="0" y="0"/>
                          <a:chExt cx="1463040" cy="656125"/>
                        </a:xfrm>
                      </wpg:grpSpPr>
                      <wps:wsp>
                        <wps:cNvPr id="398" name="Shape 398"/>
                        <wps:cNvSpPr/>
                        <wps:spPr>
                          <a:xfrm>
                            <a:off x="812800" y="7"/>
                            <a:ext cx="650240" cy="656107"/>
                          </a:xfrm>
                          <a:custGeom>
                            <a:avLst/>
                            <a:gdLst/>
                            <a:ahLst/>
                            <a:cxnLst/>
                            <a:rect l="0" t="0" r="0" b="0"/>
                            <a:pathLst>
                              <a:path w="650240" h="656107">
                                <a:moveTo>
                                  <a:pt x="325120" y="0"/>
                                </a:moveTo>
                                <a:cubicBezTo>
                                  <a:pt x="504673" y="0"/>
                                  <a:pt x="650240" y="146876"/>
                                  <a:pt x="650240" y="328054"/>
                                </a:cubicBezTo>
                                <a:cubicBezTo>
                                  <a:pt x="650240" y="509232"/>
                                  <a:pt x="504673" y="656107"/>
                                  <a:pt x="325120" y="656107"/>
                                </a:cubicBezTo>
                                <a:cubicBezTo>
                                  <a:pt x="145555" y="656107"/>
                                  <a:pt x="0" y="509232"/>
                                  <a:pt x="0" y="328054"/>
                                </a:cubicBezTo>
                                <a:cubicBezTo>
                                  <a:pt x="0" y="146876"/>
                                  <a:pt x="145555" y="0"/>
                                  <a:pt x="325120" y="0"/>
                                </a:cubicBezTo>
                                <a:close/>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1626" name="Shape 1626"/>
                        <wps:cNvSpPr/>
                        <wps:spPr>
                          <a:xfrm>
                            <a:off x="812800" y="2"/>
                            <a:ext cx="325120" cy="656120"/>
                          </a:xfrm>
                          <a:custGeom>
                            <a:avLst/>
                            <a:gdLst/>
                            <a:ahLst/>
                            <a:cxnLst/>
                            <a:rect l="0" t="0" r="0" b="0"/>
                            <a:pathLst>
                              <a:path w="325120" h="656120">
                                <a:moveTo>
                                  <a:pt x="0" y="0"/>
                                </a:moveTo>
                                <a:lnTo>
                                  <a:pt x="325120" y="0"/>
                                </a:lnTo>
                                <a:lnTo>
                                  <a:pt x="325120" y="656120"/>
                                </a:lnTo>
                                <a:lnTo>
                                  <a:pt x="0" y="656120"/>
                                </a:lnTo>
                                <a:lnTo>
                                  <a:pt x="0" y="0"/>
                                </a:lnTo>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400" name="Shape 400"/>
                        <wps:cNvSpPr/>
                        <wps:spPr>
                          <a:xfrm>
                            <a:off x="162560" y="0"/>
                            <a:ext cx="325120" cy="328066"/>
                          </a:xfrm>
                          <a:custGeom>
                            <a:avLst/>
                            <a:gdLst/>
                            <a:ahLst/>
                            <a:cxnLst/>
                            <a:rect l="0" t="0" r="0" b="0"/>
                            <a:pathLst>
                              <a:path w="325120" h="328066">
                                <a:moveTo>
                                  <a:pt x="162560" y="0"/>
                                </a:moveTo>
                                <a:cubicBezTo>
                                  <a:pt x="252336" y="0"/>
                                  <a:pt x="325120" y="73444"/>
                                  <a:pt x="325120" y="164033"/>
                                </a:cubicBezTo>
                                <a:cubicBezTo>
                                  <a:pt x="325120" y="254622"/>
                                  <a:pt x="252336" y="328066"/>
                                  <a:pt x="162560" y="328066"/>
                                </a:cubicBezTo>
                                <a:cubicBezTo>
                                  <a:pt x="72784" y="328066"/>
                                  <a:pt x="0" y="254622"/>
                                  <a:pt x="0" y="164033"/>
                                </a:cubicBezTo>
                                <a:cubicBezTo>
                                  <a:pt x="0" y="73444"/>
                                  <a:pt x="72784" y="0"/>
                                  <a:pt x="162560" y="0"/>
                                </a:cubicBezTo>
                                <a:close/>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1627" name="Shape 1627"/>
                        <wps:cNvSpPr/>
                        <wps:spPr>
                          <a:xfrm>
                            <a:off x="325120" y="2"/>
                            <a:ext cx="325120" cy="328054"/>
                          </a:xfrm>
                          <a:custGeom>
                            <a:avLst/>
                            <a:gdLst/>
                            <a:ahLst/>
                            <a:cxnLst/>
                            <a:rect l="0" t="0" r="0" b="0"/>
                            <a:pathLst>
                              <a:path w="325120" h="328054">
                                <a:moveTo>
                                  <a:pt x="0" y="0"/>
                                </a:moveTo>
                                <a:lnTo>
                                  <a:pt x="325120" y="0"/>
                                </a:lnTo>
                                <a:lnTo>
                                  <a:pt x="325120" y="328054"/>
                                </a:lnTo>
                                <a:lnTo>
                                  <a:pt x="0" y="328054"/>
                                </a:lnTo>
                                <a:lnTo>
                                  <a:pt x="0" y="0"/>
                                </a:lnTo>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402" name="Shape 402"/>
                        <wps:cNvSpPr/>
                        <wps:spPr>
                          <a:xfrm>
                            <a:off x="162560" y="328058"/>
                            <a:ext cx="325120" cy="328066"/>
                          </a:xfrm>
                          <a:custGeom>
                            <a:avLst/>
                            <a:gdLst/>
                            <a:ahLst/>
                            <a:cxnLst/>
                            <a:rect l="0" t="0" r="0" b="0"/>
                            <a:pathLst>
                              <a:path w="325120" h="328066">
                                <a:moveTo>
                                  <a:pt x="162560" y="0"/>
                                </a:moveTo>
                                <a:cubicBezTo>
                                  <a:pt x="252336" y="0"/>
                                  <a:pt x="325120" y="73444"/>
                                  <a:pt x="325120" y="164033"/>
                                </a:cubicBezTo>
                                <a:cubicBezTo>
                                  <a:pt x="325120" y="254622"/>
                                  <a:pt x="252336" y="328066"/>
                                  <a:pt x="162560" y="328066"/>
                                </a:cubicBezTo>
                                <a:cubicBezTo>
                                  <a:pt x="72784" y="328066"/>
                                  <a:pt x="0" y="254622"/>
                                  <a:pt x="0" y="164033"/>
                                </a:cubicBezTo>
                                <a:cubicBezTo>
                                  <a:pt x="0" y="73444"/>
                                  <a:pt x="72784" y="0"/>
                                  <a:pt x="162560" y="0"/>
                                </a:cubicBezTo>
                                <a:close/>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403" name="Shape 403"/>
                        <wps:cNvSpPr/>
                        <wps:spPr>
                          <a:xfrm>
                            <a:off x="487680" y="328058"/>
                            <a:ext cx="325120" cy="328066"/>
                          </a:xfrm>
                          <a:custGeom>
                            <a:avLst/>
                            <a:gdLst/>
                            <a:ahLst/>
                            <a:cxnLst/>
                            <a:rect l="0" t="0" r="0" b="0"/>
                            <a:pathLst>
                              <a:path w="325120" h="328066">
                                <a:moveTo>
                                  <a:pt x="162560" y="0"/>
                                </a:moveTo>
                                <a:cubicBezTo>
                                  <a:pt x="252336" y="0"/>
                                  <a:pt x="325120" y="73444"/>
                                  <a:pt x="325120" y="164033"/>
                                </a:cubicBezTo>
                                <a:cubicBezTo>
                                  <a:pt x="325120" y="254622"/>
                                  <a:pt x="252336" y="328066"/>
                                  <a:pt x="162560" y="328066"/>
                                </a:cubicBezTo>
                                <a:cubicBezTo>
                                  <a:pt x="72784" y="328066"/>
                                  <a:pt x="0" y="254622"/>
                                  <a:pt x="0" y="164033"/>
                                </a:cubicBezTo>
                                <a:cubicBezTo>
                                  <a:pt x="0" y="73444"/>
                                  <a:pt x="72784" y="0"/>
                                  <a:pt x="162560" y="0"/>
                                </a:cubicBezTo>
                                <a:close/>
                              </a:path>
                            </a:pathLst>
                          </a:custGeom>
                          <a:ln w="0" cap="flat">
                            <a:miter lim="100000"/>
                          </a:ln>
                        </wps:spPr>
                        <wps:style>
                          <a:lnRef idx="0">
                            <a:srgbClr val="000000">
                              <a:alpha val="0"/>
                            </a:srgbClr>
                          </a:lnRef>
                          <a:fillRef idx="1">
                            <a:srgbClr val="E5472E"/>
                          </a:fillRef>
                          <a:effectRef idx="0">
                            <a:scrgbClr r="0" g="0" b="0"/>
                          </a:effectRef>
                          <a:fontRef idx="none"/>
                        </wps:style>
                        <wps:bodyPr/>
                      </wps:wsp>
                      <wps:wsp>
                        <wps:cNvPr id="1628" name="Shape 1628"/>
                        <wps:cNvSpPr/>
                        <wps:spPr>
                          <a:xfrm>
                            <a:off x="0" y="328056"/>
                            <a:ext cx="325120" cy="328054"/>
                          </a:xfrm>
                          <a:custGeom>
                            <a:avLst/>
                            <a:gdLst/>
                            <a:ahLst/>
                            <a:cxnLst/>
                            <a:rect l="0" t="0" r="0" b="0"/>
                            <a:pathLst>
                              <a:path w="325120" h="328054">
                                <a:moveTo>
                                  <a:pt x="0" y="0"/>
                                </a:moveTo>
                                <a:lnTo>
                                  <a:pt x="325120" y="0"/>
                                </a:lnTo>
                                <a:lnTo>
                                  <a:pt x="325120" y="328054"/>
                                </a:lnTo>
                                <a:lnTo>
                                  <a:pt x="0" y="328054"/>
                                </a:lnTo>
                                <a:lnTo>
                                  <a:pt x="0" y="0"/>
                                </a:lnTo>
                              </a:path>
                            </a:pathLst>
                          </a:custGeom>
                          <a:ln w="0" cap="flat">
                            <a:miter lim="100000"/>
                          </a:ln>
                        </wps:spPr>
                        <wps:style>
                          <a:lnRef idx="0">
                            <a:srgbClr val="000000">
                              <a:alpha val="0"/>
                            </a:srgbClr>
                          </a:lnRef>
                          <a:fillRef idx="1">
                            <a:srgbClr val="E5472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142C31" id="Group 1617" o:spid="_x0000_s1026" style="position:absolute;margin-left:0;margin-top:0;width:97.2pt;height:43.55pt;z-index:251659264;mso-width-relative:margin;mso-height-relative:margin" coordsize="14630,65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">
                <v:shape id="Shape 398" o:spid="_x0000_s1027" style="position:absolute;left:8128;width:6502;height:6561;visibility:visible;mso-wrap-style:square;v-text-anchor:top" coordsize="650240,656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" path="m325120,c504673,,650240,146876,650240,328054v,181178,-145567,328053,-325120,328053c145555,656107,,509232,,328054,,146876,145555,,325120,xe" fillcolor="#e5472e" stroked="f" strokeweight="0">
                  <v:stroke miterlimit="1" joinstyle="miter"/>
                  <v:path arrowok="t" textboxrect="0,0,650240,656107"/>
                </v:shape>
                <v:shape id="Shape 1626" o:spid="_x0000_s1028" style="position:absolute;left:8128;width:3251;height:6561;visibility:visible;mso-wrap-style:square;v-text-anchor:top" coordsize="325120,656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" path="m,l325120,r,656120l,656120,,e" fillcolor="#e5472e" stroked="f" strokeweight="0">
                  <v:stroke miterlimit="1" joinstyle="miter"/>
                  <v:path arrowok="t" textboxrect="0,0,325120,656120"/>
                </v:shape>
                <v:shape id="Shape 400" o:spid="_x0000_s1029" style="position:absolute;left:1625;width:3251;height:3280;visibility:visible;mso-wrap-style:square;v-text-anchor:top" coordsize="325120,328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" path="m162560,v89776,,162560,73444,162560,164033c325120,254622,252336,328066,162560,328066,72784,328066,,254622,,164033,,73444,72784,,162560,xe" fillcolor="#e5472e" stroked="f" strokeweight="0">
                  <v:stroke miterlimit="1" joinstyle="miter"/>
                  <v:path arrowok="t" textboxrect="0,0,325120,328066"/>
                </v:shape>
                <v:shape id="Shape 1627" o:spid="_x0000_s1030" style="position:absolute;left:3251;width:3251;height:3280;visibility:visible;mso-wrap-style:square;v-text-anchor:top" coordsize="325120,328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" path="m,l325120,r,328054l,328054,,e" fillcolor="#e5472e" stroked="f" strokeweight="0">
                  <v:stroke miterlimit="1" joinstyle="miter"/>
                  <v:path arrowok="t" textboxrect="0,0,325120,328054"/>
                </v:shape>
                <v:shape id="Shape 402" o:spid="_x0000_s1031" style="position:absolute;left:1625;top:3280;width:3251;height:3281;visibility:visible;mso-wrap-style:square;v-text-anchor:top" coordsize="325120,328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" path="m162560,v89776,,162560,73444,162560,164033c325120,254622,252336,328066,162560,328066,72784,328066,,254622,,164033,,73444,72784,,162560,xe" fillcolor="#e5472e" stroked="f" strokeweight="0">
                  <v:stroke miterlimit="1" joinstyle="miter"/>
                  <v:path arrowok="t" textboxrect="0,0,325120,328066"/>
                </v:shape>
                <v:shape id="Shape 403" o:spid="_x0000_s1032" style="position:absolute;left:4876;top:3280;width:3252;height:3281;visibility:visible;mso-wrap-style:square;v-text-anchor:top" coordsize="325120,328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" path="m162560,v89776,,162560,73444,162560,164033c325120,254622,252336,328066,162560,328066,72784,328066,,254622,,164033,,73444,72784,,162560,xe" fillcolor="#e5472e" stroked="f" strokeweight="0">
                  <v:stroke miterlimit="1" joinstyle="miter"/>
                  <v:path arrowok="t" textboxrect="0,0,325120,328066"/>
                </v:shape>
                <v:shape id="Shape 1628" o:spid="_x0000_s1033" style="position:absolute;top:3280;width:3251;height:3281;visibility:visible;mso-wrap-style:square;v-text-anchor:top" coordsize="325120,328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" path="m,l325120,r,328054l,328054,,e" fillcolor="#e5472e" stroked="f" strokeweight="0">
                  <v:stroke miterlimit="1" joinstyle="miter"/>
                  <v:path arrowok="t" textboxrect="0,0,325120,328054"/>
                </v:shape>
                <w10:wrap type="square"/>
              </v:group>
            </w:pict>
          </mc:Fallback>
        </mc:AlternateContent>
      </w:r>
    </w:p>
    <w:p w14:paraId="07CC6D4B" w14:textId="77777777" w:rsidR="00591AEB" w:rsidRDefault="00591AEB" w:rsidP="00645575">
      <w:pPr>
        <w:spacing w:before="100" w:beforeAutospacing="1" w:after="100" w:afterAutospacing="1" w:line="240" w:lineRule="auto"/>
        <w:outlineLvl w:val="1"/>
        <w:rPr>
          <w:rFonts w:ascii="Calibri" w:eastAsia="Times New Roman" w:hAnsi="Calibri" w:cs="Calibri"/>
          <w:b/>
          <w:bCs/>
          <w:kern w:val="0"/>
          <w:sz w:val="22"/>
          <w:szCs w:val="22"/>
          <w14:ligatures w14:val="none"/>
        </w:rPr>
      </w:pPr>
    </w:p>
    <w:p w14:paraId="16EFDF78" w14:textId="68A752D8" w:rsidR="000D18C5" w:rsidRPr="00150402" w:rsidRDefault="000D18C5" w:rsidP="000D18C5">
      <w:pPr>
        <w:pStyle w:val="p1"/>
        <w:spacing w:before="0" w:beforeAutospacing="0" w:after="0" w:afterAutospacing="0"/>
        <w:rPr>
          <w:rFonts w:ascii="Calibri" w:hAnsi="Calibri" w:cs="Calibri"/>
          <w:b/>
          <w:bCs/>
          <w:sz w:val="22"/>
          <w:szCs w:val="22"/>
        </w:rPr>
      </w:pPr>
      <w:r>
        <w:rPr>
          <w:rFonts w:ascii="Calibri" w:hAnsi="Calibri" w:cs="Calibri"/>
          <w:b/>
          <w:bCs/>
          <w:sz w:val="22"/>
          <w:szCs w:val="22"/>
        </w:rPr>
        <w:t xml:space="preserve">Louisiana Tech | </w:t>
      </w:r>
      <w:r w:rsidRPr="00150402">
        <w:rPr>
          <w:rFonts w:ascii="Calibri" w:hAnsi="Calibri" w:cs="Calibri"/>
          <w:b/>
          <w:bCs/>
          <w:sz w:val="22"/>
          <w:szCs w:val="22"/>
        </w:rPr>
        <w:t>School of Design</w:t>
      </w:r>
    </w:p>
    <w:p w14:paraId="0B5CBD89"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Architecture Program</w:t>
      </w:r>
    </w:p>
    <w:p w14:paraId="7FDFFA6C" w14:textId="77777777" w:rsidR="000D18C5" w:rsidRPr="00150402" w:rsidRDefault="000D18C5" w:rsidP="000D18C5">
      <w:pPr>
        <w:pStyle w:val="p2"/>
        <w:spacing w:before="0" w:beforeAutospacing="0" w:after="0" w:afterAutospacing="0"/>
        <w:rPr>
          <w:rFonts w:ascii="Calibri" w:hAnsi="Calibri" w:cs="Calibri"/>
          <w:sz w:val="22"/>
          <w:szCs w:val="22"/>
        </w:rPr>
      </w:pPr>
    </w:p>
    <w:p w14:paraId="4E96F047"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Student Financial Information</w:t>
      </w:r>
      <w:r>
        <w:rPr>
          <w:rFonts w:ascii="Calibri" w:hAnsi="Calibri" w:cs="Calibri"/>
          <w:b/>
          <w:bCs/>
          <w:sz w:val="22"/>
          <w:szCs w:val="22"/>
        </w:rPr>
        <w:t xml:space="preserve"> relative to </w:t>
      </w:r>
      <w:r w:rsidRPr="00150402">
        <w:rPr>
          <w:rFonts w:ascii="Calibri" w:hAnsi="Calibri" w:cs="Calibri"/>
          <w:b/>
          <w:bCs/>
          <w:sz w:val="22"/>
          <w:szCs w:val="22"/>
        </w:rPr>
        <w:t>NAAB Condition 6.6</w:t>
      </w:r>
    </w:p>
    <w:p w14:paraId="0F8CB4FA" w14:textId="77777777" w:rsidR="000D18C5" w:rsidRPr="00150402" w:rsidRDefault="000D18C5" w:rsidP="000D18C5">
      <w:pPr>
        <w:pStyle w:val="p2"/>
        <w:spacing w:before="0" w:beforeAutospacing="0" w:after="0" w:afterAutospacing="0"/>
        <w:rPr>
          <w:rFonts w:ascii="Calibri" w:hAnsi="Calibri" w:cs="Calibri"/>
          <w:sz w:val="22"/>
          <w:szCs w:val="22"/>
        </w:rPr>
      </w:pPr>
    </w:p>
    <w:p w14:paraId="2407A4DA"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Purpose</w:t>
      </w:r>
    </w:p>
    <w:p w14:paraId="544C045A"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This document provides information regarding financial aid resources and estimated costs associated with completing the NAAB-accredited Master of Architecture degree at Louisiana Tech University. These estimates are intended to assist prospective and current students in understanding typical expenses associated with completing the program.</w:t>
      </w:r>
    </w:p>
    <w:p w14:paraId="034FE3A4" w14:textId="77777777" w:rsidR="000D18C5" w:rsidRPr="00150402" w:rsidRDefault="000D18C5" w:rsidP="000D18C5">
      <w:pPr>
        <w:pStyle w:val="p2"/>
        <w:spacing w:before="0" w:beforeAutospacing="0" w:after="0" w:afterAutospacing="0"/>
        <w:rPr>
          <w:rFonts w:ascii="Calibri" w:hAnsi="Calibri" w:cs="Calibri"/>
          <w:sz w:val="22"/>
          <w:szCs w:val="22"/>
        </w:rPr>
      </w:pPr>
    </w:p>
    <w:p w14:paraId="2ADCB01E"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Financial Aid Resources and Advising</w:t>
      </w:r>
    </w:p>
    <w:p w14:paraId="6F5D48D0"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 xml:space="preserve">Students enrolled in the Architecture Program have access to financial aid information and advising through the </w:t>
      </w:r>
      <w:hyperlink r:id="rId5" w:history="1">
        <w:r w:rsidRPr="00127E83">
          <w:rPr>
            <w:rStyle w:val="Hyperlink"/>
            <w:rFonts w:ascii="Calibri" w:hAnsi="Calibri" w:cs="Calibri"/>
            <w:sz w:val="22"/>
            <w:szCs w:val="22"/>
          </w:rPr>
          <w:t>Louisiana Tech University Office of Financial Aid</w:t>
        </w:r>
      </w:hyperlink>
      <w:r w:rsidRPr="00150402">
        <w:rPr>
          <w:rFonts w:ascii="Calibri" w:hAnsi="Calibri" w:cs="Calibri"/>
          <w:sz w:val="22"/>
          <w:szCs w:val="22"/>
        </w:rPr>
        <w:t>. The office provides guidance regarding federal and state financial aid programs, scholarships, grants, loans, and other funding opportunities available to students.</w:t>
      </w:r>
    </w:p>
    <w:p w14:paraId="68BF4334" w14:textId="77777777" w:rsidR="000D18C5" w:rsidRPr="00150402" w:rsidRDefault="000D18C5" w:rsidP="000D18C5">
      <w:pPr>
        <w:pStyle w:val="p2"/>
        <w:spacing w:before="0" w:beforeAutospacing="0" w:after="0" w:afterAutospacing="0"/>
        <w:rPr>
          <w:rFonts w:ascii="Calibri" w:hAnsi="Calibri" w:cs="Calibri"/>
          <w:sz w:val="22"/>
          <w:szCs w:val="22"/>
        </w:rPr>
      </w:pPr>
    </w:p>
    <w:p w14:paraId="0C821476"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6.6.1 Financial Aid resources and advising are available at:</w:t>
      </w:r>
    </w:p>
    <w:p w14:paraId="75579BED" w14:textId="77777777" w:rsidR="000D18C5" w:rsidRPr="00150402" w:rsidRDefault="000D18C5" w:rsidP="000D18C5">
      <w:pPr>
        <w:pStyle w:val="p1"/>
        <w:spacing w:before="0" w:beforeAutospacing="0" w:after="0" w:afterAutospacing="0"/>
        <w:rPr>
          <w:rFonts w:ascii="Calibri" w:hAnsi="Calibri" w:cs="Calibri"/>
          <w:sz w:val="22"/>
          <w:szCs w:val="22"/>
        </w:rPr>
      </w:pPr>
      <w:hyperlink r:id="rId6" w:history="1">
        <w:r w:rsidRPr="006133CB">
          <w:rPr>
            <w:rStyle w:val="Hyperlink"/>
            <w:rFonts w:ascii="Calibri" w:hAnsi="Calibri" w:cs="Calibri"/>
            <w:sz w:val="22"/>
            <w:szCs w:val="22"/>
          </w:rPr>
          <w:t>https://www.latech.edu/student-life/financial-aid/i</w:t>
        </w:r>
        <w:r w:rsidRPr="006133CB">
          <w:rPr>
            <w:rStyle w:val="Hyperlink"/>
            <w:rFonts w:ascii="Calibri" w:hAnsi="Calibri" w:cs="Calibri"/>
            <w:sz w:val="22"/>
            <w:szCs w:val="22"/>
          </w:rPr>
          <w:t>n</w:t>
        </w:r>
        <w:r w:rsidRPr="006133CB">
          <w:rPr>
            <w:rStyle w:val="Hyperlink"/>
            <w:rFonts w:ascii="Calibri" w:hAnsi="Calibri" w:cs="Calibri"/>
            <w:sz w:val="22"/>
            <w:szCs w:val="22"/>
          </w:rPr>
          <w:t>dex.php</w:t>
        </w:r>
      </w:hyperlink>
      <w:r>
        <w:rPr>
          <w:rFonts w:ascii="Calibri" w:hAnsi="Calibri" w:cs="Calibri"/>
          <w:sz w:val="22"/>
          <w:szCs w:val="22"/>
        </w:rPr>
        <w:t xml:space="preserve"> </w:t>
      </w:r>
    </w:p>
    <w:p w14:paraId="3D05C19E" w14:textId="77777777" w:rsidR="000D18C5" w:rsidRPr="00150402" w:rsidRDefault="000D18C5" w:rsidP="000D18C5">
      <w:pPr>
        <w:pStyle w:val="p2"/>
        <w:spacing w:before="0" w:beforeAutospacing="0" w:after="0" w:afterAutospacing="0"/>
        <w:rPr>
          <w:rFonts w:ascii="Calibri" w:hAnsi="Calibri" w:cs="Calibri"/>
          <w:sz w:val="22"/>
          <w:szCs w:val="22"/>
        </w:rPr>
      </w:pPr>
    </w:p>
    <w:p w14:paraId="20E1A13E"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Students may contact the Office of Financial Aid directly for assistance in planning for the financial requirements associated with completing their degree.</w:t>
      </w:r>
    </w:p>
    <w:p w14:paraId="0AF38F02" w14:textId="77777777" w:rsidR="000D18C5" w:rsidRPr="00150402" w:rsidRDefault="000D18C5" w:rsidP="000D18C5">
      <w:pPr>
        <w:pStyle w:val="p2"/>
        <w:spacing w:before="0" w:beforeAutospacing="0" w:after="0" w:afterAutospacing="0"/>
        <w:rPr>
          <w:rFonts w:ascii="Calibri" w:hAnsi="Calibri" w:cs="Calibri"/>
          <w:sz w:val="22"/>
          <w:szCs w:val="22"/>
        </w:rPr>
      </w:pPr>
    </w:p>
    <w:p w14:paraId="3CC1FE24"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Office of Financial Aid</w:t>
      </w:r>
    </w:p>
    <w:p w14:paraId="793F90A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Email: TechAid@LATech.edu</w:t>
      </w:r>
    </w:p>
    <w:p w14:paraId="169E48BE"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Phone: 318.257.2641</w:t>
      </w:r>
    </w:p>
    <w:p w14:paraId="5159594B" w14:textId="77777777" w:rsidR="000D18C5" w:rsidRPr="00150402" w:rsidRDefault="000D18C5" w:rsidP="000D18C5">
      <w:pPr>
        <w:pStyle w:val="p2"/>
        <w:spacing w:before="0" w:beforeAutospacing="0" w:after="0" w:afterAutospacing="0"/>
        <w:rPr>
          <w:rFonts w:ascii="Calibri" w:hAnsi="Calibri" w:cs="Calibri"/>
          <w:sz w:val="22"/>
          <w:szCs w:val="22"/>
        </w:rPr>
      </w:pPr>
    </w:p>
    <w:p w14:paraId="6BC37BE5"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Program Structure</w:t>
      </w:r>
    </w:p>
    <w:p w14:paraId="4574DE60"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 xml:space="preserve">The NAAB-accredited Master of Architecture at Louisiana Tech University requires </w:t>
      </w:r>
      <w:r w:rsidRPr="00150402">
        <w:rPr>
          <w:rStyle w:val="s1"/>
          <w:rFonts w:ascii="Calibri" w:eastAsiaTheme="majorEastAsia" w:hAnsi="Calibri" w:cs="Calibri"/>
          <w:b/>
          <w:bCs/>
          <w:sz w:val="22"/>
          <w:szCs w:val="22"/>
        </w:rPr>
        <w:t>30 graduate credit hours</w:t>
      </w:r>
      <w:r w:rsidRPr="00150402">
        <w:rPr>
          <w:rFonts w:ascii="Calibri" w:hAnsi="Calibri" w:cs="Calibri"/>
          <w:sz w:val="22"/>
          <w:szCs w:val="22"/>
        </w:rPr>
        <w:t xml:space="preserve"> and is typically completed in </w:t>
      </w:r>
      <w:r w:rsidRPr="00150402">
        <w:rPr>
          <w:rStyle w:val="s1"/>
          <w:rFonts w:ascii="Calibri" w:eastAsiaTheme="majorEastAsia" w:hAnsi="Calibri" w:cs="Calibri"/>
          <w:b/>
          <w:bCs/>
          <w:sz w:val="22"/>
          <w:szCs w:val="22"/>
        </w:rPr>
        <w:t>one academic year</w:t>
      </w:r>
      <w:r w:rsidRPr="00150402">
        <w:rPr>
          <w:rFonts w:ascii="Calibri" w:hAnsi="Calibri" w:cs="Calibri"/>
          <w:sz w:val="22"/>
          <w:szCs w:val="22"/>
        </w:rPr>
        <w:t xml:space="preserve"> following completion of a pre-professional undergraduate degree in architecture.</w:t>
      </w:r>
    </w:p>
    <w:p w14:paraId="2F83EF27" w14:textId="77777777" w:rsidR="000D18C5" w:rsidRPr="00150402" w:rsidRDefault="000D18C5" w:rsidP="000D18C5">
      <w:pPr>
        <w:pStyle w:val="p2"/>
        <w:spacing w:before="0" w:beforeAutospacing="0" w:after="0" w:afterAutospacing="0"/>
        <w:rPr>
          <w:rFonts w:ascii="Calibri" w:hAnsi="Calibri" w:cs="Calibri"/>
          <w:sz w:val="22"/>
          <w:szCs w:val="22"/>
        </w:rPr>
      </w:pPr>
    </w:p>
    <w:p w14:paraId="737A82AE"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Tuition and Mandatory University Fees</w:t>
      </w:r>
    </w:p>
    <w:p w14:paraId="3DF45368"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Tuition and fee schedules are published annually by Louisiana Tech University and vary depending on residency status.</w:t>
      </w:r>
    </w:p>
    <w:p w14:paraId="6130A2E8" w14:textId="77777777" w:rsidR="000D18C5" w:rsidRPr="00150402" w:rsidRDefault="000D18C5" w:rsidP="000D18C5">
      <w:pPr>
        <w:pStyle w:val="p2"/>
        <w:spacing w:before="0" w:beforeAutospacing="0" w:after="0" w:afterAutospacing="0"/>
        <w:rPr>
          <w:rFonts w:ascii="Calibri" w:hAnsi="Calibri" w:cs="Calibri"/>
          <w:sz w:val="22"/>
          <w:szCs w:val="22"/>
        </w:rPr>
      </w:pPr>
    </w:p>
    <w:p w14:paraId="21E68E3A"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Current tuition and fee schedules are available at:</w:t>
      </w:r>
    </w:p>
    <w:p w14:paraId="24EB08C9" w14:textId="77777777" w:rsidR="000D18C5" w:rsidRPr="00150402" w:rsidRDefault="000D18C5" w:rsidP="000D18C5">
      <w:pPr>
        <w:pStyle w:val="p1"/>
        <w:spacing w:before="0" w:beforeAutospacing="0" w:after="0" w:afterAutospacing="0"/>
        <w:rPr>
          <w:rFonts w:ascii="Calibri" w:hAnsi="Calibri" w:cs="Calibri"/>
          <w:sz w:val="22"/>
          <w:szCs w:val="22"/>
        </w:rPr>
      </w:pPr>
      <w:hyperlink r:id="rId7" w:history="1">
        <w:r w:rsidRPr="006133CB">
          <w:rPr>
            <w:rStyle w:val="Hyperlink"/>
            <w:rFonts w:ascii="Calibri" w:hAnsi="Calibri" w:cs="Calibri"/>
            <w:sz w:val="22"/>
            <w:szCs w:val="22"/>
          </w:rPr>
          <w:t>https://www.latech.edu/administration/finance/comptr</w:t>
        </w:r>
        <w:r w:rsidRPr="006133CB">
          <w:rPr>
            <w:rStyle w:val="Hyperlink"/>
            <w:rFonts w:ascii="Calibri" w:hAnsi="Calibri" w:cs="Calibri"/>
            <w:sz w:val="22"/>
            <w:szCs w:val="22"/>
          </w:rPr>
          <w:t>o</w:t>
        </w:r>
        <w:r w:rsidRPr="006133CB">
          <w:rPr>
            <w:rStyle w:val="Hyperlink"/>
            <w:rFonts w:ascii="Calibri" w:hAnsi="Calibri" w:cs="Calibri"/>
            <w:sz w:val="22"/>
            <w:szCs w:val="22"/>
          </w:rPr>
          <w:t>ller/tuitio</w:t>
        </w:r>
        <w:r w:rsidRPr="006133CB">
          <w:rPr>
            <w:rStyle w:val="Hyperlink"/>
            <w:rFonts w:ascii="Calibri" w:hAnsi="Calibri" w:cs="Calibri"/>
            <w:sz w:val="22"/>
            <w:szCs w:val="22"/>
          </w:rPr>
          <w:t>n</w:t>
        </w:r>
        <w:r w:rsidRPr="006133CB">
          <w:rPr>
            <w:rStyle w:val="Hyperlink"/>
            <w:rFonts w:ascii="Calibri" w:hAnsi="Calibri" w:cs="Calibri"/>
            <w:sz w:val="22"/>
            <w:szCs w:val="22"/>
          </w:rPr>
          <w:t>-fees.php</w:t>
        </w:r>
      </w:hyperlink>
      <w:r>
        <w:rPr>
          <w:rFonts w:ascii="Calibri" w:hAnsi="Calibri" w:cs="Calibri"/>
          <w:sz w:val="22"/>
          <w:szCs w:val="22"/>
        </w:rPr>
        <w:t xml:space="preserve"> </w:t>
      </w:r>
    </w:p>
    <w:p w14:paraId="67BCC5F5" w14:textId="77777777" w:rsidR="000D18C5" w:rsidRPr="00150402" w:rsidRDefault="000D18C5" w:rsidP="000D18C5">
      <w:pPr>
        <w:pStyle w:val="p2"/>
        <w:spacing w:before="0" w:beforeAutospacing="0" w:after="0" w:afterAutospacing="0"/>
        <w:rPr>
          <w:rFonts w:ascii="Calibri" w:hAnsi="Calibri" w:cs="Calibri"/>
          <w:sz w:val="22"/>
          <w:szCs w:val="22"/>
        </w:rPr>
      </w:pPr>
    </w:p>
    <w:p w14:paraId="50033805"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Estimated Tuition and Fees for the Master of Architecture (30 credits)</w:t>
      </w:r>
    </w:p>
    <w:p w14:paraId="268906D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Louisiana Resident Tuition (approximate)</w:t>
      </w:r>
    </w:p>
    <w:p w14:paraId="71D9071A"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$445 per credit hour</w:t>
      </w:r>
    </w:p>
    <w:p w14:paraId="2DF260D7"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total tuition for 30 credits: approximately $13,350</w:t>
      </w:r>
    </w:p>
    <w:p w14:paraId="4679DD44" w14:textId="77777777" w:rsidR="000D18C5" w:rsidRPr="00150402" w:rsidRDefault="000D18C5" w:rsidP="000D18C5">
      <w:pPr>
        <w:pStyle w:val="p2"/>
        <w:spacing w:before="0" w:beforeAutospacing="0" w:after="0" w:afterAutospacing="0"/>
        <w:rPr>
          <w:rFonts w:ascii="Calibri" w:hAnsi="Calibri" w:cs="Calibri"/>
          <w:sz w:val="22"/>
          <w:szCs w:val="22"/>
        </w:rPr>
      </w:pPr>
    </w:p>
    <w:p w14:paraId="4C2A4648"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lastRenderedPageBreak/>
        <w:t>Non-Resident Tuition (approximate)</w:t>
      </w:r>
    </w:p>
    <w:p w14:paraId="0CD70410"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$707 per credit hour</w:t>
      </w:r>
    </w:p>
    <w:p w14:paraId="2FC38D5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total tuition for 30 credits: approximately $21,210</w:t>
      </w:r>
    </w:p>
    <w:p w14:paraId="7C13016C" w14:textId="77777777" w:rsidR="000D18C5" w:rsidRPr="00150402" w:rsidRDefault="000D18C5" w:rsidP="000D18C5">
      <w:pPr>
        <w:pStyle w:val="p2"/>
        <w:spacing w:before="0" w:beforeAutospacing="0" w:after="0" w:afterAutospacing="0"/>
        <w:rPr>
          <w:rFonts w:ascii="Calibri" w:hAnsi="Calibri" w:cs="Calibri"/>
          <w:sz w:val="22"/>
          <w:szCs w:val="22"/>
        </w:rPr>
      </w:pPr>
    </w:p>
    <w:p w14:paraId="002A87DF"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Mandatory University Fees</w:t>
      </w:r>
    </w:p>
    <w:p w14:paraId="7AAB1E3F"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Approximately $1,200 to $1,500 per academic year</w:t>
      </w:r>
    </w:p>
    <w:p w14:paraId="11B4457C" w14:textId="77777777" w:rsidR="000D18C5" w:rsidRPr="00150402" w:rsidRDefault="000D18C5" w:rsidP="000D18C5">
      <w:pPr>
        <w:pStyle w:val="p2"/>
        <w:spacing w:before="0" w:beforeAutospacing="0" w:after="0" w:afterAutospacing="0"/>
        <w:rPr>
          <w:rFonts w:ascii="Calibri" w:hAnsi="Calibri" w:cs="Calibri"/>
          <w:sz w:val="22"/>
          <w:szCs w:val="22"/>
        </w:rPr>
      </w:pPr>
    </w:p>
    <w:p w14:paraId="4BDA6BCE" w14:textId="77777777" w:rsidR="000D18C5" w:rsidRPr="00150402" w:rsidRDefault="000D18C5" w:rsidP="000D18C5">
      <w:pPr>
        <w:pStyle w:val="p1"/>
        <w:spacing w:before="0" w:beforeAutospacing="0" w:after="0" w:afterAutospacing="0"/>
        <w:rPr>
          <w:rFonts w:ascii="Calibri" w:hAnsi="Calibri" w:cs="Calibri"/>
          <w:b/>
          <w:bCs/>
          <w:sz w:val="22"/>
          <w:szCs w:val="22"/>
        </w:rPr>
      </w:pPr>
      <w:r>
        <w:rPr>
          <w:rFonts w:ascii="Calibri" w:hAnsi="Calibri" w:cs="Calibri"/>
          <w:b/>
          <w:bCs/>
          <w:sz w:val="22"/>
          <w:szCs w:val="22"/>
        </w:rPr>
        <w:t xml:space="preserve">6.6.2 </w:t>
      </w:r>
      <w:r w:rsidRPr="00150402">
        <w:rPr>
          <w:rFonts w:ascii="Calibri" w:hAnsi="Calibri" w:cs="Calibri"/>
          <w:b/>
          <w:bCs/>
          <w:sz w:val="22"/>
          <w:szCs w:val="22"/>
        </w:rPr>
        <w:t>Estimated Additional Costs for Architecture Students</w:t>
      </w:r>
    </w:p>
    <w:p w14:paraId="15669BC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In addition to tuition and mandatory university fees, architecture students incur costs associated with books, supplies, and specialized materials required for studio coursework.</w:t>
      </w:r>
    </w:p>
    <w:p w14:paraId="1C73B269" w14:textId="77777777" w:rsidR="000D18C5" w:rsidRPr="00150402" w:rsidRDefault="000D18C5" w:rsidP="000D18C5">
      <w:pPr>
        <w:pStyle w:val="p2"/>
        <w:spacing w:before="0" w:beforeAutospacing="0" w:after="0" w:afterAutospacing="0"/>
        <w:rPr>
          <w:rFonts w:ascii="Calibri" w:hAnsi="Calibri" w:cs="Calibri"/>
          <w:sz w:val="22"/>
          <w:szCs w:val="22"/>
        </w:rPr>
      </w:pPr>
    </w:p>
    <w:p w14:paraId="1D901CB2"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Books and Course Materials</w:t>
      </w:r>
    </w:p>
    <w:p w14:paraId="3CA99522"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range: $300 to $600</w:t>
      </w:r>
    </w:p>
    <w:p w14:paraId="50CB033B" w14:textId="77777777" w:rsidR="000D18C5" w:rsidRPr="00127E83" w:rsidRDefault="000D18C5" w:rsidP="000D18C5">
      <w:pPr>
        <w:pStyle w:val="p2"/>
        <w:spacing w:before="0" w:beforeAutospacing="0" w:after="0" w:afterAutospacing="0"/>
        <w:rPr>
          <w:rFonts w:ascii="Calibri" w:hAnsi="Calibri" w:cs="Calibri"/>
          <w:b/>
          <w:bCs/>
          <w:sz w:val="22"/>
          <w:szCs w:val="22"/>
        </w:rPr>
      </w:pPr>
    </w:p>
    <w:p w14:paraId="1747CC06"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General Supplies</w:t>
      </w:r>
    </w:p>
    <w:p w14:paraId="386AB0A3"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Sketchbooks, drawing tools, presentation materials, and related supplies.</w:t>
      </w:r>
    </w:p>
    <w:p w14:paraId="7007285E"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range: $150 to $300</w:t>
      </w:r>
    </w:p>
    <w:p w14:paraId="5DA47F1B" w14:textId="77777777" w:rsidR="000D18C5" w:rsidRPr="00150402" w:rsidRDefault="000D18C5" w:rsidP="000D18C5">
      <w:pPr>
        <w:pStyle w:val="p2"/>
        <w:spacing w:before="0" w:beforeAutospacing="0" w:after="0" w:afterAutospacing="0"/>
        <w:rPr>
          <w:rFonts w:ascii="Calibri" w:hAnsi="Calibri" w:cs="Calibri"/>
          <w:sz w:val="22"/>
          <w:szCs w:val="22"/>
        </w:rPr>
      </w:pPr>
    </w:p>
    <w:p w14:paraId="0AAD0A4D"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Specialized Architecture Studio Materials</w:t>
      </w:r>
    </w:p>
    <w:p w14:paraId="2B70D722"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Architecture studio courses require model-building materials, fabrication supplies, printing and plotting, and other project-specific materials used in the development and presentation of design work.</w:t>
      </w:r>
    </w:p>
    <w:p w14:paraId="22F9FECE"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range: $800 to $1,500</w:t>
      </w:r>
    </w:p>
    <w:p w14:paraId="6BB0FB4D" w14:textId="77777777" w:rsidR="000D18C5" w:rsidRPr="00150402" w:rsidRDefault="000D18C5" w:rsidP="000D18C5">
      <w:pPr>
        <w:pStyle w:val="p2"/>
        <w:spacing w:before="0" w:beforeAutospacing="0" w:after="0" w:afterAutospacing="0"/>
        <w:rPr>
          <w:rFonts w:ascii="Calibri" w:hAnsi="Calibri" w:cs="Calibri"/>
          <w:sz w:val="22"/>
          <w:szCs w:val="22"/>
        </w:rPr>
      </w:pPr>
    </w:p>
    <w:p w14:paraId="7FA5AA56"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Digital Tools and Software</w:t>
      </w:r>
    </w:p>
    <w:p w14:paraId="11849EB4"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Students have access to many software platforms through university licenses. Some optional digital tools or subscriptions may be used depending on studio requirements and individual workflow.</w:t>
      </w:r>
    </w:p>
    <w:p w14:paraId="27C923C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Estimated range: $0 to $300</w:t>
      </w:r>
    </w:p>
    <w:p w14:paraId="6A6F4317" w14:textId="77777777" w:rsidR="000D18C5" w:rsidRPr="00150402" w:rsidRDefault="000D18C5" w:rsidP="000D18C5">
      <w:pPr>
        <w:pStyle w:val="p2"/>
        <w:spacing w:before="0" w:beforeAutospacing="0" w:after="0" w:afterAutospacing="0"/>
        <w:rPr>
          <w:rFonts w:ascii="Calibri" w:hAnsi="Calibri" w:cs="Calibri"/>
          <w:sz w:val="22"/>
          <w:szCs w:val="22"/>
        </w:rPr>
      </w:pPr>
    </w:p>
    <w:p w14:paraId="496DBE78"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Estimated Total Cost of Completing the Program</w:t>
      </w:r>
    </w:p>
    <w:p w14:paraId="1230D7C4"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Louisiana Resident Students</w:t>
      </w:r>
    </w:p>
    <w:p w14:paraId="76D22954"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Tuition: approximately $13,350</w:t>
      </w:r>
    </w:p>
    <w:p w14:paraId="77888561"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Mandatory Fees: approximately $1,200–$1,500</w:t>
      </w:r>
    </w:p>
    <w:p w14:paraId="4B71E2D5"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Books and Supplies: approximately $1,250–$2,700</w:t>
      </w:r>
    </w:p>
    <w:p w14:paraId="6B17E450" w14:textId="77777777" w:rsidR="000D18C5" w:rsidRPr="00150402" w:rsidRDefault="000D18C5" w:rsidP="000D18C5">
      <w:pPr>
        <w:pStyle w:val="p2"/>
        <w:spacing w:before="0" w:beforeAutospacing="0" w:after="0" w:afterAutospacing="0"/>
        <w:rPr>
          <w:rFonts w:ascii="Calibri" w:hAnsi="Calibri" w:cs="Calibri"/>
          <w:sz w:val="22"/>
          <w:szCs w:val="22"/>
        </w:rPr>
      </w:pPr>
    </w:p>
    <w:p w14:paraId="0E9EB03A"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Estimated Total Program Cost</w:t>
      </w:r>
    </w:p>
    <w:p w14:paraId="78DB4868"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Approximately $15,800–$17,500</w:t>
      </w:r>
    </w:p>
    <w:p w14:paraId="0F75A57C" w14:textId="77777777" w:rsidR="000D18C5" w:rsidRPr="00150402" w:rsidRDefault="000D18C5" w:rsidP="000D18C5">
      <w:pPr>
        <w:pStyle w:val="p2"/>
        <w:spacing w:before="0" w:beforeAutospacing="0" w:after="0" w:afterAutospacing="0"/>
        <w:rPr>
          <w:rFonts w:ascii="Calibri" w:hAnsi="Calibri" w:cs="Calibri"/>
          <w:sz w:val="22"/>
          <w:szCs w:val="22"/>
        </w:rPr>
      </w:pPr>
    </w:p>
    <w:p w14:paraId="2F5A4882"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Non-Resident Students</w:t>
      </w:r>
    </w:p>
    <w:p w14:paraId="359C817D"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Tuition: approximately $21,210</w:t>
      </w:r>
    </w:p>
    <w:p w14:paraId="50205F37"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Mandatory Fees: approximately $1,200–$1,500</w:t>
      </w:r>
    </w:p>
    <w:p w14:paraId="04F1B3C6"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Books and Supplies: approximately $1,250–$2,700</w:t>
      </w:r>
    </w:p>
    <w:p w14:paraId="478A70E5" w14:textId="77777777" w:rsidR="000D18C5" w:rsidRPr="00150402" w:rsidRDefault="000D18C5" w:rsidP="000D18C5">
      <w:pPr>
        <w:pStyle w:val="p2"/>
        <w:spacing w:before="0" w:beforeAutospacing="0" w:after="0" w:afterAutospacing="0"/>
        <w:rPr>
          <w:rFonts w:ascii="Calibri" w:hAnsi="Calibri" w:cs="Calibri"/>
          <w:sz w:val="22"/>
          <w:szCs w:val="22"/>
        </w:rPr>
      </w:pPr>
    </w:p>
    <w:p w14:paraId="2519E359" w14:textId="77777777" w:rsidR="000D18C5" w:rsidRPr="00127E83" w:rsidRDefault="000D18C5" w:rsidP="000D18C5">
      <w:pPr>
        <w:pStyle w:val="p1"/>
        <w:spacing w:before="0" w:beforeAutospacing="0" w:after="0" w:afterAutospacing="0"/>
        <w:rPr>
          <w:rFonts w:ascii="Calibri" w:hAnsi="Calibri" w:cs="Calibri"/>
          <w:b/>
          <w:bCs/>
          <w:sz w:val="22"/>
          <w:szCs w:val="22"/>
        </w:rPr>
      </w:pPr>
      <w:r w:rsidRPr="00127E83">
        <w:rPr>
          <w:rFonts w:ascii="Calibri" w:hAnsi="Calibri" w:cs="Calibri"/>
          <w:b/>
          <w:bCs/>
          <w:sz w:val="22"/>
          <w:szCs w:val="22"/>
        </w:rPr>
        <w:t>Estimated Total Program Cost</w:t>
      </w:r>
    </w:p>
    <w:p w14:paraId="6D33A538" w14:textId="77777777" w:rsidR="000D18C5" w:rsidRPr="00150402"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Approximately $23,700–$25,400</w:t>
      </w:r>
    </w:p>
    <w:p w14:paraId="71565804" w14:textId="77777777" w:rsidR="000D18C5" w:rsidRPr="00127E83" w:rsidRDefault="000D18C5" w:rsidP="000D18C5">
      <w:pPr>
        <w:spacing w:before="100" w:beforeAutospacing="1" w:after="100" w:afterAutospacing="1" w:line="240" w:lineRule="auto"/>
        <w:rPr>
          <w:rFonts w:ascii="Calibri" w:eastAsia="Times New Roman" w:hAnsi="Calibri" w:cs="Calibri"/>
          <w:kern w:val="0"/>
          <w:sz w:val="22"/>
          <w:szCs w:val="22"/>
          <w14:ligatures w14:val="none"/>
        </w:rPr>
      </w:pPr>
      <w:r w:rsidRPr="00127E83">
        <w:rPr>
          <w:rFonts w:ascii="Calibri" w:eastAsia="Times New Roman" w:hAnsi="Calibri" w:cs="Calibri"/>
          <w:b/>
          <w:bCs/>
          <w:kern w:val="0"/>
          <w:sz w:val="22"/>
          <w:szCs w:val="22"/>
          <w14:ligatures w14:val="none"/>
        </w:rPr>
        <w:t>Note:</w:t>
      </w:r>
      <w:r w:rsidRPr="00127E83">
        <w:rPr>
          <w:rFonts w:ascii="Calibri" w:eastAsia="Times New Roman" w:hAnsi="Calibri" w:cs="Calibri"/>
          <w:kern w:val="0"/>
          <w:sz w:val="22"/>
          <w:szCs w:val="22"/>
          <w14:ligatures w14:val="none"/>
        </w:rPr>
        <w:t xml:space="preserve"> Mandatory fees include Building Use Fee, Academic Enhancement Fee, Academic Excellence Use Fee, Operational Fee, General Fee, University Support Fee, University Assessed Fee, Student Self-Assessed Fees, Technology Fee, and Energy Surcharge. ​ </w:t>
      </w:r>
    </w:p>
    <w:p w14:paraId="187B8944" w14:textId="77777777" w:rsidR="000D18C5" w:rsidRPr="00150402" w:rsidRDefault="000D18C5" w:rsidP="000D18C5">
      <w:pPr>
        <w:pStyle w:val="p2"/>
        <w:spacing w:before="0" w:beforeAutospacing="0" w:after="0" w:afterAutospacing="0"/>
        <w:rPr>
          <w:rFonts w:ascii="Calibri" w:hAnsi="Calibri" w:cs="Calibri"/>
          <w:sz w:val="22"/>
          <w:szCs w:val="22"/>
        </w:rPr>
      </w:pPr>
    </w:p>
    <w:p w14:paraId="564DBA43" w14:textId="77777777" w:rsidR="000D18C5" w:rsidRPr="00150402" w:rsidRDefault="000D18C5" w:rsidP="000D18C5">
      <w:pPr>
        <w:pStyle w:val="p1"/>
        <w:spacing w:before="0" w:beforeAutospacing="0" w:after="0" w:afterAutospacing="0"/>
        <w:rPr>
          <w:rFonts w:ascii="Calibri" w:hAnsi="Calibri" w:cs="Calibri"/>
          <w:b/>
          <w:bCs/>
          <w:sz w:val="22"/>
          <w:szCs w:val="22"/>
        </w:rPr>
      </w:pPr>
      <w:r w:rsidRPr="00150402">
        <w:rPr>
          <w:rFonts w:ascii="Calibri" w:hAnsi="Calibri" w:cs="Calibri"/>
          <w:b/>
          <w:bCs/>
          <w:sz w:val="22"/>
          <w:szCs w:val="22"/>
        </w:rPr>
        <w:t>Summary</w:t>
      </w:r>
    </w:p>
    <w:p w14:paraId="7EEF7DE5" w14:textId="77777777" w:rsidR="000D18C5" w:rsidRDefault="000D18C5" w:rsidP="000D18C5">
      <w:pPr>
        <w:pStyle w:val="p1"/>
        <w:spacing w:before="0" w:beforeAutospacing="0" w:after="0" w:afterAutospacing="0"/>
        <w:rPr>
          <w:rFonts w:ascii="Calibri" w:hAnsi="Calibri" w:cs="Calibri"/>
          <w:sz w:val="22"/>
          <w:szCs w:val="22"/>
        </w:rPr>
      </w:pPr>
      <w:r w:rsidRPr="00150402">
        <w:rPr>
          <w:rFonts w:ascii="Calibri" w:hAnsi="Calibri" w:cs="Calibri"/>
          <w:sz w:val="22"/>
          <w:szCs w:val="22"/>
        </w:rPr>
        <w:t>Students completing the NAAB-accredited Master of Architecture program should expect expenses associated with tuition and mandatory university fees in addition to costs related to books, general supplies, and specialized architecture studio materials. Students are encouraged to consult the Louisiana Tech Office of Financial Aid and the university tuition and fee schedule for the most current information when planning for the financial requirements of the program.</w:t>
      </w:r>
    </w:p>
    <w:p w14:paraId="44BDA710" w14:textId="77777777" w:rsidR="000D18C5" w:rsidRPr="00645575" w:rsidRDefault="000D18C5" w:rsidP="000D18C5">
      <w:pPr>
        <w:spacing w:before="100" w:beforeAutospacing="1" w:after="100" w:afterAutospacing="1" w:line="240" w:lineRule="auto"/>
        <w:rPr>
          <w:rFonts w:ascii="Calibri" w:eastAsia="Times New Roman" w:hAnsi="Calibri" w:cs="Calibri"/>
          <w:kern w:val="0"/>
          <w:sz w:val="22"/>
          <w:szCs w:val="22"/>
          <w14:ligatures w14:val="none"/>
        </w:rPr>
      </w:pPr>
      <w:r w:rsidRPr="00645575">
        <w:rPr>
          <w:rFonts w:ascii="Calibri" w:eastAsia="Times New Roman" w:hAnsi="Calibri" w:cs="Calibri"/>
          <w:kern w:val="0"/>
          <w:sz w:val="22"/>
          <w:szCs w:val="22"/>
          <w14:ligatures w14:val="none"/>
        </w:rPr>
        <w:t xml:space="preserve">For a personalized estimate, consider using La Tech's </w:t>
      </w:r>
      <w:hyperlink r:id="rId8" w:tgtFrame="_new" w:history="1">
        <w:r w:rsidRPr="00645575">
          <w:rPr>
            <w:rFonts w:ascii="Calibri" w:eastAsia="Times New Roman" w:hAnsi="Calibri" w:cs="Calibri"/>
            <w:color w:val="0000FF"/>
            <w:kern w:val="0"/>
            <w:sz w:val="22"/>
            <w:szCs w:val="22"/>
            <w:u w:val="single"/>
            <w14:ligatures w14:val="none"/>
          </w:rPr>
          <w:t>Cost of Attendance Calculator</w:t>
        </w:r>
      </w:hyperlink>
      <w:r w:rsidRPr="00645575">
        <w:rPr>
          <w:rFonts w:ascii="Calibri" w:eastAsia="Times New Roman" w:hAnsi="Calibri" w:cs="Calibri"/>
          <w:kern w:val="0"/>
          <w:sz w:val="22"/>
          <w:szCs w:val="22"/>
          <w14:ligatures w14:val="none"/>
        </w:rPr>
        <w:t>.​</w:t>
      </w:r>
    </w:p>
    <w:p w14:paraId="3ABEE7CE" w14:textId="77777777" w:rsidR="000D18C5" w:rsidRPr="00150402" w:rsidRDefault="000D18C5" w:rsidP="000D18C5">
      <w:pPr>
        <w:pStyle w:val="p1"/>
        <w:spacing w:before="0" w:beforeAutospacing="0" w:after="0" w:afterAutospacing="0"/>
        <w:rPr>
          <w:rFonts w:ascii="Calibri" w:hAnsi="Calibri" w:cs="Calibri"/>
          <w:sz w:val="22"/>
          <w:szCs w:val="22"/>
        </w:rPr>
      </w:pPr>
    </w:p>
    <w:p w14:paraId="48CF9F41" w14:textId="77777777" w:rsidR="000D18C5" w:rsidRDefault="000D18C5" w:rsidP="000D18C5">
      <w:pPr>
        <w:pStyle w:val="p1"/>
      </w:pPr>
    </w:p>
    <w:p w14:paraId="601D5D26" w14:textId="77777777" w:rsidR="000D18C5" w:rsidRPr="00CD6F44" w:rsidRDefault="000D18C5" w:rsidP="000D18C5">
      <w:pPr>
        <w:pStyle w:val="p1"/>
        <w:rPr>
          <w:b/>
          <w:bCs/>
        </w:rPr>
      </w:pPr>
    </w:p>
    <w:p w14:paraId="618B6128" w14:textId="77777777" w:rsidR="000D18C5" w:rsidRDefault="000D18C5" w:rsidP="000D18C5">
      <w:r>
        <w:t xml:space="preserve"> </w:t>
      </w:r>
    </w:p>
    <w:p w14:paraId="5F93EEBF" w14:textId="77777777" w:rsidR="002B73B6" w:rsidRPr="00645575" w:rsidRDefault="002B73B6">
      <w:pPr>
        <w:rPr>
          <w:rFonts w:ascii="Calibri" w:hAnsi="Calibri" w:cs="Calibri"/>
          <w:sz w:val="22"/>
          <w:szCs w:val="22"/>
        </w:rPr>
      </w:pPr>
    </w:p>
    <w:sectPr w:rsidR="002B73B6" w:rsidRPr="00645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412"/>
    <w:multiLevelType w:val="multilevel"/>
    <w:tmpl w:val="3124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2DB1"/>
    <w:multiLevelType w:val="multilevel"/>
    <w:tmpl w:val="55C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0BBF"/>
    <w:multiLevelType w:val="multilevel"/>
    <w:tmpl w:val="A0C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1754D"/>
    <w:multiLevelType w:val="multilevel"/>
    <w:tmpl w:val="C79A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80512"/>
    <w:multiLevelType w:val="multilevel"/>
    <w:tmpl w:val="6050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D712A"/>
    <w:multiLevelType w:val="multilevel"/>
    <w:tmpl w:val="7234A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3776">
    <w:abstractNumId w:val="0"/>
  </w:num>
  <w:num w:numId="2" w16cid:durableId="371809686">
    <w:abstractNumId w:val="1"/>
  </w:num>
  <w:num w:numId="3" w16cid:durableId="2040887196">
    <w:abstractNumId w:val="5"/>
  </w:num>
  <w:num w:numId="4" w16cid:durableId="1409766718">
    <w:abstractNumId w:val="4"/>
  </w:num>
  <w:num w:numId="5" w16cid:durableId="1530950350">
    <w:abstractNumId w:val="3"/>
  </w:num>
  <w:num w:numId="6" w16cid:durableId="136709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75"/>
    <w:rsid w:val="00034AA6"/>
    <w:rsid w:val="000D18C5"/>
    <w:rsid w:val="002B73B6"/>
    <w:rsid w:val="004C5590"/>
    <w:rsid w:val="00591AEB"/>
    <w:rsid w:val="005B6A21"/>
    <w:rsid w:val="00645575"/>
    <w:rsid w:val="0079477A"/>
    <w:rsid w:val="007E3911"/>
    <w:rsid w:val="00826CDE"/>
    <w:rsid w:val="00A515FE"/>
    <w:rsid w:val="00AD2CEE"/>
    <w:rsid w:val="00B34DA2"/>
    <w:rsid w:val="00B56536"/>
    <w:rsid w:val="00C41FAE"/>
    <w:rsid w:val="00CB6865"/>
    <w:rsid w:val="00DF14C0"/>
    <w:rsid w:val="00E61072"/>
    <w:rsid w:val="00FC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C604"/>
  <w15:chartTrackingRefBased/>
  <w15:docId w15:val="{9411E130-A890-1549-9CA0-70ABD52E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5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5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5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575"/>
    <w:rPr>
      <w:rFonts w:eastAsiaTheme="majorEastAsia" w:cstheme="majorBidi"/>
      <w:color w:val="272727" w:themeColor="text1" w:themeTint="D8"/>
    </w:rPr>
  </w:style>
  <w:style w:type="paragraph" w:styleId="Title">
    <w:name w:val="Title"/>
    <w:basedOn w:val="Normal"/>
    <w:next w:val="Normal"/>
    <w:link w:val="TitleChar"/>
    <w:uiPriority w:val="10"/>
    <w:qFormat/>
    <w:rsid w:val="00645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575"/>
    <w:pPr>
      <w:spacing w:before="160"/>
      <w:jc w:val="center"/>
    </w:pPr>
    <w:rPr>
      <w:i/>
      <w:iCs/>
      <w:color w:val="404040" w:themeColor="text1" w:themeTint="BF"/>
    </w:rPr>
  </w:style>
  <w:style w:type="character" w:customStyle="1" w:styleId="QuoteChar">
    <w:name w:val="Quote Char"/>
    <w:basedOn w:val="DefaultParagraphFont"/>
    <w:link w:val="Quote"/>
    <w:uiPriority w:val="29"/>
    <w:rsid w:val="00645575"/>
    <w:rPr>
      <w:i/>
      <w:iCs/>
      <w:color w:val="404040" w:themeColor="text1" w:themeTint="BF"/>
    </w:rPr>
  </w:style>
  <w:style w:type="paragraph" w:styleId="ListParagraph">
    <w:name w:val="List Paragraph"/>
    <w:basedOn w:val="Normal"/>
    <w:uiPriority w:val="34"/>
    <w:qFormat/>
    <w:rsid w:val="00645575"/>
    <w:pPr>
      <w:ind w:left="720"/>
      <w:contextualSpacing/>
    </w:pPr>
  </w:style>
  <w:style w:type="character" w:styleId="IntenseEmphasis">
    <w:name w:val="Intense Emphasis"/>
    <w:basedOn w:val="DefaultParagraphFont"/>
    <w:uiPriority w:val="21"/>
    <w:qFormat/>
    <w:rsid w:val="00645575"/>
    <w:rPr>
      <w:i/>
      <w:iCs/>
      <w:color w:val="0F4761" w:themeColor="accent1" w:themeShade="BF"/>
    </w:rPr>
  </w:style>
  <w:style w:type="paragraph" w:styleId="IntenseQuote">
    <w:name w:val="Intense Quote"/>
    <w:basedOn w:val="Normal"/>
    <w:next w:val="Normal"/>
    <w:link w:val="IntenseQuoteChar"/>
    <w:uiPriority w:val="30"/>
    <w:qFormat/>
    <w:rsid w:val="0064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575"/>
    <w:rPr>
      <w:i/>
      <w:iCs/>
      <w:color w:val="0F4761" w:themeColor="accent1" w:themeShade="BF"/>
    </w:rPr>
  </w:style>
  <w:style w:type="character" w:styleId="IntenseReference">
    <w:name w:val="Intense Reference"/>
    <w:basedOn w:val="DefaultParagraphFont"/>
    <w:uiPriority w:val="32"/>
    <w:qFormat/>
    <w:rsid w:val="00645575"/>
    <w:rPr>
      <w:b/>
      <w:bCs/>
      <w:smallCaps/>
      <w:color w:val="0F4761" w:themeColor="accent1" w:themeShade="BF"/>
      <w:spacing w:val="5"/>
    </w:rPr>
  </w:style>
  <w:style w:type="character" w:styleId="Strong">
    <w:name w:val="Strong"/>
    <w:basedOn w:val="DefaultParagraphFont"/>
    <w:uiPriority w:val="22"/>
    <w:qFormat/>
    <w:rsid w:val="00645575"/>
    <w:rPr>
      <w:b/>
      <w:bCs/>
    </w:rPr>
  </w:style>
  <w:style w:type="character" w:customStyle="1" w:styleId="relative">
    <w:name w:val="relative"/>
    <w:basedOn w:val="DefaultParagraphFont"/>
    <w:rsid w:val="00645575"/>
  </w:style>
  <w:style w:type="character" w:customStyle="1" w:styleId="ms-1">
    <w:name w:val="ms-1"/>
    <w:basedOn w:val="DefaultParagraphFont"/>
    <w:rsid w:val="00645575"/>
  </w:style>
  <w:style w:type="character" w:styleId="Hyperlink">
    <w:name w:val="Hyperlink"/>
    <w:basedOn w:val="DefaultParagraphFont"/>
    <w:uiPriority w:val="99"/>
    <w:semiHidden/>
    <w:unhideWhenUsed/>
    <w:rsid w:val="00645575"/>
    <w:rPr>
      <w:color w:val="0000FF"/>
      <w:u w:val="single"/>
    </w:rPr>
  </w:style>
  <w:style w:type="character" w:customStyle="1" w:styleId="max-w-full">
    <w:name w:val="max-w-full"/>
    <w:basedOn w:val="DefaultParagraphFont"/>
    <w:rsid w:val="00645575"/>
  </w:style>
  <w:style w:type="character" w:styleId="Emphasis">
    <w:name w:val="Emphasis"/>
    <w:basedOn w:val="DefaultParagraphFont"/>
    <w:uiPriority w:val="20"/>
    <w:qFormat/>
    <w:rsid w:val="00645575"/>
    <w:rPr>
      <w:i/>
      <w:iCs/>
    </w:rPr>
  </w:style>
  <w:style w:type="paragraph" w:customStyle="1" w:styleId="p1">
    <w:name w:val="p1"/>
    <w:basedOn w:val="Normal"/>
    <w:rsid w:val="000D18C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0D18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0D18C5"/>
  </w:style>
  <w:style w:type="character" w:styleId="FollowedHyperlink">
    <w:name w:val="FollowedHyperlink"/>
    <w:basedOn w:val="DefaultParagraphFont"/>
    <w:uiPriority w:val="99"/>
    <w:semiHidden/>
    <w:unhideWhenUsed/>
    <w:rsid w:val="000D18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5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ech.edu/admissions/tuition-and-fees/" TargetMode="External"/><Relationship Id="rId3" Type="http://schemas.openxmlformats.org/officeDocument/2006/relationships/settings" Target="settings.xml"/><Relationship Id="rId7" Type="http://schemas.openxmlformats.org/officeDocument/2006/relationships/hyperlink" Target="https://www.latech.edu/administration/finance/comptroller/tuition-fe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tech.edu/student-life/financial-aid/index.php" TargetMode="External"/><Relationship Id="rId5" Type="http://schemas.openxmlformats.org/officeDocument/2006/relationships/hyperlink" Target="https://www.latech.edu/student-life/financial-aid/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De Paola</dc:creator>
  <cp:keywords/>
  <dc:description/>
  <cp:lastModifiedBy>Pasquale De Paola</cp:lastModifiedBy>
  <cp:revision>5</cp:revision>
  <dcterms:created xsi:type="dcterms:W3CDTF">2025-04-23T14:35:00Z</dcterms:created>
  <dcterms:modified xsi:type="dcterms:W3CDTF">2026-03-04T14:57:00Z</dcterms:modified>
</cp:coreProperties>
</file>